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45F5C44D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552333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2D0BB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108BEC3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2D0BB9">
        <w:rPr>
          <w:rFonts w:asciiTheme="minorHAnsi" w:hAnsiTheme="minorHAnsi" w:cstheme="minorHAnsi"/>
          <w:lang w:eastAsia="pt-BR"/>
        </w:rPr>
        <w:t>E</w:t>
      </w:r>
      <w:r w:rsidR="00DD365D" w:rsidRPr="002D0BB9">
        <w:rPr>
          <w:rFonts w:asciiTheme="minorHAnsi" w:hAnsiTheme="minorHAnsi" w:cstheme="minorHAnsi"/>
          <w:lang w:eastAsia="pt-BR"/>
        </w:rPr>
        <w:t xml:space="preserve"> 0</w:t>
      </w:r>
      <w:r w:rsidR="002D0BB9" w:rsidRPr="002D0BB9">
        <w:rPr>
          <w:rFonts w:asciiTheme="minorHAnsi" w:hAnsiTheme="minorHAnsi" w:cstheme="minorHAnsi"/>
          <w:lang w:eastAsia="pt-BR"/>
        </w:rPr>
        <w:t>42</w:t>
      </w:r>
      <w:r w:rsidRPr="002D0BB9">
        <w:rPr>
          <w:rFonts w:asciiTheme="minorHAnsi" w:hAnsiTheme="minorHAnsi" w:cstheme="minorHAnsi"/>
          <w:lang w:eastAsia="pt-BR"/>
        </w:rPr>
        <w:t>/202</w:t>
      </w:r>
      <w:r w:rsidR="00B14296" w:rsidRPr="002D0BB9">
        <w:rPr>
          <w:rFonts w:asciiTheme="minorHAnsi" w:hAnsiTheme="minorHAnsi" w:cstheme="minorHAnsi"/>
          <w:lang w:eastAsia="pt-BR"/>
        </w:rPr>
        <w:t>3</w:t>
      </w:r>
      <w:r w:rsidRPr="002D0BB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</w:rPr>
      </w:pPr>
    </w:p>
    <w:p w14:paraId="746C2A59" w14:textId="2688D57A" w:rsidR="00552333" w:rsidRDefault="00BA11BD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 w:rsidRPr="00BA11BD">
        <w:rPr>
          <w:rFonts w:ascii="Verdana" w:hAnsi="Verdana"/>
          <w:b/>
          <w:bCs/>
          <w:color w:val="242424"/>
          <w:sz w:val="20"/>
          <w:szCs w:val="20"/>
        </w:rPr>
        <w:t>1</w:t>
      </w:r>
      <w:r w:rsidR="00552333">
        <w:rPr>
          <w:rFonts w:ascii="Verdana" w:hAnsi="Verdana"/>
          <w:color w:val="242424"/>
          <w:sz w:val="20"/>
          <w:szCs w:val="20"/>
        </w:rPr>
        <w:t>-Solicito planilha de custo unitário por profissional com os valores estimados pela administração.</w:t>
      </w:r>
    </w:p>
    <w:p w14:paraId="38F60D86" w14:textId="07E5465E" w:rsidR="00BA11BD" w:rsidRDefault="00BA11BD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 w:rsidRPr="00BA11BD">
        <w:rPr>
          <w:rFonts w:ascii="Verdana" w:hAnsi="Verdana"/>
          <w:b/>
          <w:bCs/>
          <w:color w:val="242424"/>
          <w:sz w:val="20"/>
          <w:szCs w:val="20"/>
        </w:rPr>
        <w:t>RESPOSTA</w:t>
      </w:r>
      <w:r>
        <w:rPr>
          <w:rFonts w:ascii="Verdana" w:hAnsi="Verdana"/>
          <w:color w:val="242424"/>
          <w:sz w:val="20"/>
          <w:szCs w:val="20"/>
        </w:rPr>
        <w:t xml:space="preserve">: A licitante deverá apresentar modelo padrão de planilha de custos e formação de preços conforme previsto no Edital. Não serão disponibilizadas planilhas em formato </w:t>
      </w:r>
      <w:proofErr w:type="spellStart"/>
      <w:r>
        <w:rPr>
          <w:rFonts w:ascii="Verdana" w:hAnsi="Verdana"/>
          <w:color w:val="242424"/>
          <w:sz w:val="20"/>
          <w:szCs w:val="20"/>
        </w:rPr>
        <w:t>excel</w:t>
      </w:r>
      <w:proofErr w:type="spellEnd"/>
      <w:r>
        <w:rPr>
          <w:rFonts w:ascii="Verdana" w:hAnsi="Verdana"/>
          <w:color w:val="242424"/>
          <w:sz w:val="20"/>
          <w:szCs w:val="20"/>
        </w:rPr>
        <w:t xml:space="preserve"> para os licitantes.</w:t>
      </w:r>
    </w:p>
    <w:p w14:paraId="74A18E57" w14:textId="77777777" w:rsidR="00552333" w:rsidRDefault="00552333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br/>
      </w:r>
      <w:r>
        <w:rPr>
          <w:rStyle w:val="Forte"/>
          <w:rFonts w:ascii="Verdana" w:hAnsi="Verdana"/>
          <w:color w:val="242424"/>
          <w:sz w:val="20"/>
          <w:szCs w:val="20"/>
        </w:rPr>
        <w:t>2</w:t>
      </w:r>
      <w:r>
        <w:rPr>
          <w:rFonts w:ascii="Verdana" w:hAnsi="Verdana"/>
          <w:color w:val="242424"/>
          <w:sz w:val="20"/>
          <w:szCs w:val="20"/>
        </w:rPr>
        <w:t>-Referente as alíquotas fixadas em planilha de custo no anexo III pergunto se estes valores são fixos ou se o fornecedor pode alterar conforme a sua estimativa. Exemplo: férias 11,11%, 13° salário 8,33%.</w:t>
      </w:r>
    </w:p>
    <w:p w14:paraId="02A25AA1" w14:textId="1B109E43" w:rsidR="00BA11BD" w:rsidRDefault="00BA11BD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 w:rsidRPr="00BA11BD">
        <w:rPr>
          <w:rFonts w:ascii="Verdana" w:hAnsi="Verdana"/>
          <w:b/>
          <w:bCs/>
          <w:color w:val="242424"/>
          <w:sz w:val="20"/>
          <w:szCs w:val="20"/>
        </w:rPr>
        <w:t>RESPOSTA</w:t>
      </w:r>
      <w:r>
        <w:rPr>
          <w:rFonts w:ascii="Verdana" w:hAnsi="Verdana"/>
          <w:color w:val="242424"/>
          <w:sz w:val="20"/>
          <w:szCs w:val="20"/>
        </w:rPr>
        <w:t>: Conforme Edital.</w:t>
      </w:r>
    </w:p>
    <w:p w14:paraId="74DEA31A" w14:textId="77777777" w:rsidR="00552333" w:rsidRDefault="00552333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br/>
      </w:r>
      <w:r>
        <w:rPr>
          <w:rStyle w:val="Forte"/>
          <w:rFonts w:ascii="Verdana" w:hAnsi="Verdana"/>
          <w:color w:val="242424"/>
          <w:sz w:val="20"/>
          <w:szCs w:val="20"/>
        </w:rPr>
        <w:t>3</w:t>
      </w:r>
      <w:r>
        <w:rPr>
          <w:rFonts w:ascii="Verdana" w:hAnsi="Verdana"/>
          <w:color w:val="242424"/>
          <w:sz w:val="20"/>
          <w:szCs w:val="20"/>
        </w:rPr>
        <w:t>-O aviso prévio que consta no grupo B não deveria constar no grupo C que é referente aos custos de rescisão?</w:t>
      </w:r>
    </w:p>
    <w:p w14:paraId="3E01EAFC" w14:textId="34C025F1" w:rsidR="00BA11BD" w:rsidRDefault="00BA11BD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 w:rsidRPr="00BA11BD">
        <w:rPr>
          <w:rFonts w:ascii="Verdana" w:hAnsi="Verdana"/>
          <w:b/>
          <w:bCs/>
          <w:color w:val="242424"/>
          <w:sz w:val="20"/>
          <w:szCs w:val="20"/>
        </w:rPr>
        <w:t>RESPOSTA</w:t>
      </w:r>
      <w:r>
        <w:rPr>
          <w:rFonts w:ascii="Verdana" w:hAnsi="Verdana"/>
          <w:color w:val="242424"/>
          <w:sz w:val="20"/>
          <w:szCs w:val="20"/>
        </w:rPr>
        <w:t xml:space="preserve">: </w:t>
      </w:r>
      <w:r w:rsidRPr="00BA11BD">
        <w:rPr>
          <w:rFonts w:ascii="Verdana" w:hAnsi="Verdana"/>
          <w:color w:val="242424"/>
          <w:sz w:val="20"/>
          <w:szCs w:val="20"/>
        </w:rPr>
        <w:t>Conforme Edital.</w:t>
      </w:r>
    </w:p>
    <w:p w14:paraId="1C241442" w14:textId="30E0E019" w:rsidR="00552333" w:rsidRDefault="00552333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br/>
      </w:r>
      <w:r>
        <w:rPr>
          <w:rStyle w:val="Forte"/>
          <w:rFonts w:ascii="Verdana" w:hAnsi="Verdana"/>
          <w:color w:val="242424"/>
          <w:sz w:val="20"/>
          <w:szCs w:val="20"/>
        </w:rPr>
        <w:t>4</w:t>
      </w:r>
      <w:r>
        <w:rPr>
          <w:rFonts w:ascii="Verdana" w:hAnsi="Verdana"/>
          <w:color w:val="242424"/>
          <w:sz w:val="20"/>
          <w:szCs w:val="20"/>
        </w:rPr>
        <w:t>-Qual seria a alíquota de ISS para o tipo de serviço especificado em edital?</w:t>
      </w:r>
    </w:p>
    <w:p w14:paraId="1FB54D69" w14:textId="7336DA54" w:rsidR="00BA11BD" w:rsidRDefault="00BA11BD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 w:rsidRPr="00BA11BD">
        <w:rPr>
          <w:rFonts w:ascii="Verdana" w:hAnsi="Verdana"/>
          <w:b/>
          <w:bCs/>
          <w:color w:val="242424"/>
          <w:sz w:val="20"/>
          <w:szCs w:val="20"/>
        </w:rPr>
        <w:t>RESPOSTA</w:t>
      </w:r>
      <w:r>
        <w:rPr>
          <w:rFonts w:ascii="Verdana" w:hAnsi="Verdana"/>
          <w:color w:val="242424"/>
          <w:sz w:val="20"/>
          <w:szCs w:val="20"/>
        </w:rPr>
        <w:t>: Vide código Tributário Municipal – Lei nº 2597 de 30/09/2008.</w:t>
      </w:r>
    </w:p>
    <w:p w14:paraId="2F29EC8A" w14:textId="77777777" w:rsidR="00552333" w:rsidRDefault="00552333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br/>
      </w:r>
      <w:r>
        <w:rPr>
          <w:rStyle w:val="Forte"/>
          <w:rFonts w:ascii="Verdana" w:hAnsi="Verdana"/>
          <w:color w:val="242424"/>
          <w:sz w:val="20"/>
          <w:szCs w:val="20"/>
        </w:rPr>
        <w:t>5</w:t>
      </w:r>
      <w:r>
        <w:rPr>
          <w:rFonts w:ascii="Verdana" w:hAnsi="Verdana"/>
          <w:color w:val="242424"/>
          <w:sz w:val="20"/>
          <w:szCs w:val="20"/>
        </w:rPr>
        <w:t>-Serão desclassificadas as propostas apresentadas com o preço unitário por serviço superior ao que consta na página 33 do edital?</w:t>
      </w:r>
    </w:p>
    <w:p w14:paraId="272BC6BE" w14:textId="5007476E" w:rsidR="00BA11BD" w:rsidRDefault="00BA11BD" w:rsidP="005523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42424"/>
          <w:sz w:val="20"/>
          <w:szCs w:val="20"/>
        </w:rPr>
      </w:pPr>
      <w:r w:rsidRPr="00BA11BD">
        <w:rPr>
          <w:rFonts w:ascii="Verdana" w:hAnsi="Verdana"/>
          <w:b/>
          <w:bCs/>
          <w:color w:val="242424"/>
          <w:sz w:val="20"/>
          <w:szCs w:val="20"/>
        </w:rPr>
        <w:t>RESPOSTA</w:t>
      </w:r>
      <w:r>
        <w:rPr>
          <w:rFonts w:ascii="Verdana" w:hAnsi="Verdana"/>
          <w:color w:val="242424"/>
          <w:sz w:val="20"/>
          <w:szCs w:val="20"/>
        </w:rPr>
        <w:t>: Serão desclassificadas as propostas iniciais com valor total acima do máximo aceitável/estimado. O julgamento é pelo valor global.</w:t>
      </w:r>
    </w:p>
    <w:p w14:paraId="3F7B18E8" w14:textId="77777777" w:rsidR="001367E7" w:rsidRPr="002D0BB9" w:rsidRDefault="001367E7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2D0BB9" w:rsidRDefault="001367E7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2D0BB9" w:rsidRDefault="00F565F5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2D0BB9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2D0BB9" w:rsidRDefault="00F565F5" w:rsidP="002D0BB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AD11280" w14:textId="2C0952E6" w:rsidR="00A33B65" w:rsidRPr="002D0BB9" w:rsidRDefault="00525A69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b/>
        </w:rPr>
        <w:t>Secretaria Municipal de A</w:t>
      </w:r>
      <w:r w:rsidR="002D0BB9">
        <w:rPr>
          <w:rFonts w:asciiTheme="minorHAnsi" w:hAnsiTheme="minorHAnsi" w:cstheme="minorHAnsi"/>
          <w:b/>
        </w:rPr>
        <w:t>dministração</w:t>
      </w:r>
      <w:r w:rsidR="00A33B65" w:rsidRPr="002D0BB9">
        <w:rPr>
          <w:rFonts w:asciiTheme="minorHAnsi" w:hAnsiTheme="minorHAnsi" w:cstheme="minorHAnsi"/>
          <w:lang w:eastAsia="pt-BR"/>
        </w:rPr>
        <w:tab/>
      </w:r>
    </w:p>
    <w:sectPr w:rsidR="00A33B65" w:rsidRPr="002D0BB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35BFA876" w14:textId="3A8BA686" w:rsidR="00AA2955" w:rsidRDefault="00874D2C" w:rsidP="002D0BB9">
    <w:pPr>
      <w:pStyle w:val="Cabealho"/>
      <w:jc w:val="center"/>
      <w:rPr>
        <w:rFonts w:asciiTheme="minorHAnsi" w:hAnsiTheme="minorHAnsi" w:cstheme="minorHAnsi"/>
        <w:b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825">
      <w:rPr>
        <w:b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C5573"/>
    <w:multiLevelType w:val="multilevel"/>
    <w:tmpl w:val="C21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7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0"/>
  </w:num>
  <w:num w:numId="30" w16cid:durableId="1406297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1DFE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85067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0BB9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2333"/>
    <w:rsid w:val="00553825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A51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11BD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2023-11-17T16:13:00Z</cp:lastPrinted>
  <dcterms:created xsi:type="dcterms:W3CDTF">2023-11-17T16:14:00Z</dcterms:created>
  <dcterms:modified xsi:type="dcterms:W3CDTF">2023-11-17T16:21:00Z</dcterms:modified>
</cp:coreProperties>
</file>